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292" w:rsidRDefault="00253292" w:rsidP="00253292">
      <w:bookmarkStart w:id="0" w:name="_GoBack"/>
      <w:bookmarkEnd w:id="0"/>
    </w:p>
    <w:p w:rsidR="00253292" w:rsidRDefault="00253292" w:rsidP="00253292">
      <w:r>
        <w:t xml:space="preserve">1) </w:t>
      </w:r>
      <w:r w:rsidRPr="00253292">
        <w:t>Figure 1 shows the supply and demand curves for cookies, with equilibrium quantity</w:t>
      </w:r>
      <w:r w:rsidRPr="00253292">
        <w:rPr>
          <w:i/>
        </w:rPr>
        <w:t xml:space="preserve"> Q</w:t>
      </w:r>
      <w:r w:rsidRPr="00253292">
        <w:rPr>
          <w:vertAlign w:val="subscript"/>
        </w:rPr>
        <w:t>1</w:t>
      </w:r>
      <w:r w:rsidRPr="00253292">
        <w:t xml:space="preserve"> and equilibrium price</w:t>
      </w:r>
      <w:r w:rsidRPr="00253292">
        <w:rPr>
          <w:i/>
        </w:rPr>
        <w:t xml:space="preserve"> P</w:t>
      </w:r>
      <w:r w:rsidRPr="00253292">
        <w:rPr>
          <w:vertAlign w:val="subscript"/>
        </w:rPr>
        <w:t>1</w:t>
      </w:r>
      <w:r w:rsidRPr="00253292">
        <w:t>.  When the government imposes a tax on cookies, the price to buyers rises to</w:t>
      </w:r>
      <w:r w:rsidRPr="00253292">
        <w:rPr>
          <w:i/>
        </w:rPr>
        <w:t xml:space="preserve"> P</w:t>
      </w:r>
      <w:r w:rsidRPr="00253292">
        <w:rPr>
          <w:vertAlign w:val="subscript"/>
        </w:rPr>
        <w:t>B</w:t>
      </w:r>
      <w:r w:rsidRPr="00253292">
        <w:t xml:space="preserve">, the price received by </w:t>
      </w:r>
      <w:proofErr w:type="gramStart"/>
      <w:r w:rsidRPr="00253292">
        <w:t>sellers</w:t>
      </w:r>
      <w:proofErr w:type="gramEnd"/>
      <w:r w:rsidRPr="00253292">
        <w:t xml:space="preserve"> declines to</w:t>
      </w:r>
      <w:r w:rsidRPr="00253292">
        <w:rPr>
          <w:i/>
        </w:rPr>
        <w:t xml:space="preserve"> P</w:t>
      </w:r>
      <w:r w:rsidRPr="00253292">
        <w:rPr>
          <w:vertAlign w:val="subscript"/>
        </w:rPr>
        <w:t>S</w:t>
      </w:r>
      <w:r w:rsidRPr="00253292">
        <w:t>, and the equilibrium quantity falls to</w:t>
      </w:r>
      <w:r w:rsidRPr="00253292">
        <w:rPr>
          <w:i/>
        </w:rPr>
        <w:t xml:space="preserve"> Q</w:t>
      </w:r>
      <w:r w:rsidRPr="00253292">
        <w:rPr>
          <w:vertAlign w:val="subscript"/>
        </w:rPr>
        <w:t>2</w:t>
      </w:r>
      <w:r w:rsidRPr="00253292">
        <w:t>.  The deadweight loss is the triangular area below the demand curve and above the supply curve between quantities</w:t>
      </w:r>
      <w:r w:rsidRPr="00253292">
        <w:rPr>
          <w:i/>
        </w:rPr>
        <w:t xml:space="preserve"> Q</w:t>
      </w:r>
      <w:r w:rsidRPr="00253292">
        <w:rPr>
          <w:vertAlign w:val="subscript"/>
        </w:rPr>
        <w:t xml:space="preserve">1 </w:t>
      </w:r>
      <w:r w:rsidRPr="00253292">
        <w:t>and</w:t>
      </w:r>
      <w:r w:rsidRPr="00253292">
        <w:rPr>
          <w:i/>
        </w:rPr>
        <w:t xml:space="preserve"> Q</w:t>
      </w:r>
      <w:r w:rsidRPr="00253292">
        <w:rPr>
          <w:vertAlign w:val="subscript"/>
        </w:rPr>
        <w:t>2</w:t>
      </w:r>
      <w:r w:rsidRPr="00253292">
        <w:t>.  The deadweight loss shows the fall in total surplus that results from the tax.</w:t>
      </w:r>
    </w:p>
    <w:p w:rsidR="00253292" w:rsidRDefault="00253292" w:rsidP="00253292">
      <w:r>
        <w:rPr>
          <w:noProof/>
        </w:rPr>
        <w:drawing>
          <wp:inline distT="0" distB="0" distL="0" distR="0" wp14:anchorId="3F17EFA5" wp14:editId="1451600A">
            <wp:extent cx="3781425" cy="3256655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4529" cy="32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3292" w:rsidRDefault="00253292" w:rsidP="00253292">
      <w:r>
        <w:t>2) Figure  below</w:t>
      </w:r>
      <w:r w:rsidRPr="00253292">
        <w:t xml:space="preserve"> illustrates the market for pizza</w:t>
      </w:r>
    </w:p>
    <w:p w:rsidR="00253292" w:rsidRDefault="00253292" w:rsidP="00253292">
      <w:pPr>
        <w:widowControl w:val="0"/>
        <w:tabs>
          <w:tab w:val="left" w:pos="-1440"/>
          <w:tab w:val="left" w:pos="720"/>
        </w:tabs>
        <w:ind w:left="1440" w:hanging="1440"/>
        <w:rPr>
          <w:rFonts w:eastAsia="Times New Roman"/>
          <w:snapToGrid w:val="0"/>
          <w:color w:val="auto"/>
          <w:kern w:val="0"/>
          <w:sz w:val="24"/>
          <w:szCs w:val="24"/>
          <w14:ligatures w14:val="none"/>
        </w:rPr>
      </w:pPr>
      <w:r w:rsidRPr="00253292">
        <w:rPr>
          <w:rFonts w:eastAsia="Times New Roman"/>
          <w:noProof/>
          <w:snapToGrid w:val="0"/>
          <w:color w:val="auto"/>
          <w:kern w:val="0"/>
          <w:sz w:val="24"/>
          <w:szCs w:val="24"/>
          <w14:ligatures w14:val="none"/>
        </w:rPr>
        <w:drawing>
          <wp:inline distT="0" distB="0" distL="0" distR="0" wp14:anchorId="4D2773B9" wp14:editId="7D8F6788">
            <wp:extent cx="2990850" cy="2809875"/>
            <wp:effectExtent l="0" t="0" r="0" b="9525"/>
            <wp:docPr id="6" name="Picture 6" descr="C:\mankiwart\2to10_30to34\imfig080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mankiwart\2to10_30to34\imfig0803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3292" w:rsidRDefault="00253292" w:rsidP="00253292">
      <w:pPr>
        <w:widowControl w:val="0"/>
        <w:tabs>
          <w:tab w:val="left" w:pos="-1440"/>
          <w:tab w:val="left" w:pos="720"/>
        </w:tabs>
        <w:ind w:left="1440" w:hanging="1440"/>
        <w:rPr>
          <w:rFonts w:eastAsia="Times New Roman"/>
          <w:snapToGrid w:val="0"/>
          <w:color w:val="auto"/>
          <w:kern w:val="0"/>
          <w:sz w:val="24"/>
          <w:szCs w:val="24"/>
          <w14:ligatures w14:val="none"/>
        </w:rPr>
      </w:pPr>
    </w:p>
    <w:p w:rsidR="00253292" w:rsidRDefault="00253292" w:rsidP="00253292">
      <w:pPr>
        <w:widowControl w:val="0"/>
        <w:tabs>
          <w:tab w:val="left" w:pos="-1440"/>
          <w:tab w:val="left" w:pos="720"/>
        </w:tabs>
        <w:ind w:left="1440" w:hanging="1440"/>
        <w:rPr>
          <w:rFonts w:eastAsia="Times New Roman"/>
          <w:snapToGrid w:val="0"/>
          <w:color w:val="auto"/>
          <w:kern w:val="0"/>
          <w:sz w:val="24"/>
          <w:szCs w:val="24"/>
          <w14:ligatures w14:val="none"/>
        </w:rPr>
      </w:pPr>
    </w:p>
    <w:p w:rsidR="00253292" w:rsidRDefault="00253292" w:rsidP="00253292">
      <w:pPr>
        <w:widowControl w:val="0"/>
        <w:tabs>
          <w:tab w:val="left" w:pos="-1440"/>
          <w:tab w:val="left" w:pos="720"/>
        </w:tabs>
        <w:ind w:left="1440" w:hanging="1440"/>
        <w:rPr>
          <w:rFonts w:eastAsia="Times New Roman"/>
          <w:snapToGrid w:val="0"/>
          <w:color w:val="auto"/>
          <w:kern w:val="0"/>
          <w:sz w:val="24"/>
          <w:szCs w:val="24"/>
          <w14:ligatures w14:val="none"/>
        </w:rPr>
      </w:pPr>
    </w:p>
    <w:p w:rsidR="00253292" w:rsidRDefault="00253292" w:rsidP="00253292">
      <w:pPr>
        <w:widowControl w:val="0"/>
        <w:tabs>
          <w:tab w:val="left" w:pos="-1440"/>
          <w:tab w:val="left" w:pos="720"/>
        </w:tabs>
        <w:ind w:left="1440" w:hanging="1440"/>
        <w:rPr>
          <w:rFonts w:eastAsia="Times New Roman"/>
          <w:snapToGrid w:val="0"/>
          <w:color w:val="auto"/>
          <w:kern w:val="0"/>
          <w:sz w:val="24"/>
          <w:szCs w:val="24"/>
          <w14:ligatures w14:val="none"/>
        </w:rPr>
      </w:pPr>
    </w:p>
    <w:p w:rsidR="00253292" w:rsidRDefault="00253292" w:rsidP="00253292">
      <w:pPr>
        <w:widowControl w:val="0"/>
        <w:tabs>
          <w:tab w:val="left" w:pos="-1440"/>
          <w:tab w:val="left" w:pos="720"/>
        </w:tabs>
        <w:ind w:left="1440" w:hanging="1440"/>
        <w:rPr>
          <w:rFonts w:eastAsia="Times New Roman"/>
          <w:snapToGrid w:val="0"/>
          <w:color w:val="auto"/>
          <w:kern w:val="0"/>
          <w:sz w:val="24"/>
          <w:szCs w:val="24"/>
          <w14:ligatures w14:val="none"/>
        </w:rPr>
      </w:pPr>
    </w:p>
    <w:p w:rsidR="00253292" w:rsidRPr="00253292" w:rsidRDefault="00253292" w:rsidP="00253292">
      <w:pPr>
        <w:widowControl w:val="0"/>
        <w:tabs>
          <w:tab w:val="left" w:pos="-1440"/>
          <w:tab w:val="left" w:pos="720"/>
        </w:tabs>
        <w:ind w:left="1440" w:hanging="1440"/>
        <w:rPr>
          <w:rFonts w:eastAsia="Times New Roman"/>
          <w:snapToGrid w:val="0"/>
          <w:color w:val="auto"/>
          <w:kern w:val="0"/>
          <w:sz w:val="24"/>
          <w:szCs w:val="24"/>
          <w14:ligatures w14:val="none"/>
        </w:rPr>
      </w:pPr>
      <w:r w:rsidRPr="00253292">
        <w:rPr>
          <w:rFonts w:eastAsia="Times New Roman"/>
          <w:snapToGrid w:val="0"/>
          <w:color w:val="auto"/>
          <w:kern w:val="0"/>
          <w:sz w:val="24"/>
          <w:szCs w:val="24"/>
          <w14:ligatures w14:val="none"/>
        </w:rPr>
        <w:tab/>
        <w:t>a.</w:t>
      </w:r>
      <w:r w:rsidRPr="00253292">
        <w:rPr>
          <w:rFonts w:eastAsia="Times New Roman"/>
          <w:snapToGrid w:val="0"/>
          <w:color w:val="auto"/>
          <w:kern w:val="0"/>
          <w:sz w:val="24"/>
          <w:szCs w:val="24"/>
          <w14:ligatures w14:val="none"/>
        </w:rPr>
        <w:tab/>
        <w:t>Figure 3 illustrates the market for pizza.  The equilibrium price is</w:t>
      </w:r>
      <w:r w:rsidRPr="00253292">
        <w:rPr>
          <w:rFonts w:eastAsia="Times New Roman"/>
          <w:i/>
          <w:snapToGrid w:val="0"/>
          <w:color w:val="auto"/>
          <w:kern w:val="0"/>
          <w:sz w:val="24"/>
          <w:szCs w:val="24"/>
          <w14:ligatures w14:val="none"/>
        </w:rPr>
        <w:t xml:space="preserve"> P</w:t>
      </w:r>
      <w:r w:rsidRPr="00253292">
        <w:rPr>
          <w:rFonts w:eastAsia="Times New Roman"/>
          <w:snapToGrid w:val="0"/>
          <w:color w:val="auto"/>
          <w:kern w:val="0"/>
          <w:sz w:val="24"/>
          <w:szCs w:val="24"/>
          <w:vertAlign w:val="subscript"/>
          <w14:ligatures w14:val="none"/>
        </w:rPr>
        <w:t>1</w:t>
      </w:r>
      <w:r w:rsidRPr="00253292">
        <w:rPr>
          <w:rFonts w:eastAsia="Times New Roman"/>
          <w:snapToGrid w:val="0"/>
          <w:color w:val="auto"/>
          <w:kern w:val="0"/>
          <w:sz w:val="24"/>
          <w:szCs w:val="24"/>
          <w14:ligatures w14:val="none"/>
        </w:rPr>
        <w:t>, the equilibrium quantity is</w:t>
      </w:r>
      <w:r w:rsidRPr="00253292">
        <w:rPr>
          <w:rFonts w:eastAsia="Times New Roman"/>
          <w:i/>
          <w:snapToGrid w:val="0"/>
          <w:color w:val="auto"/>
          <w:kern w:val="0"/>
          <w:sz w:val="24"/>
          <w:szCs w:val="24"/>
          <w14:ligatures w14:val="none"/>
        </w:rPr>
        <w:t xml:space="preserve"> Q</w:t>
      </w:r>
      <w:r w:rsidRPr="00253292">
        <w:rPr>
          <w:rFonts w:eastAsia="Times New Roman"/>
          <w:snapToGrid w:val="0"/>
          <w:color w:val="auto"/>
          <w:kern w:val="0"/>
          <w:sz w:val="24"/>
          <w:szCs w:val="24"/>
          <w:vertAlign w:val="subscript"/>
          <w14:ligatures w14:val="none"/>
        </w:rPr>
        <w:t>1</w:t>
      </w:r>
      <w:r w:rsidRPr="00253292">
        <w:rPr>
          <w:rFonts w:eastAsia="Times New Roman"/>
          <w:snapToGrid w:val="0"/>
          <w:color w:val="auto"/>
          <w:kern w:val="0"/>
          <w:sz w:val="24"/>
          <w:szCs w:val="24"/>
          <w14:ligatures w14:val="none"/>
        </w:rPr>
        <w:t>, consumer surplus is area A+B+C, and producer surplus is area D+E+F.  There is no deadweight loss, as all the potential gains from trade are realized; total surplus is the entire area between the demand and supply curves</w:t>
      </w:r>
      <w:r w:rsidRPr="00253292">
        <w:rPr>
          <w:rFonts w:eastAsia="Times New Roman"/>
          <w:snapToGrid w:val="0"/>
          <w:color w:val="auto"/>
          <w:kern w:val="0"/>
          <w:sz w:val="24"/>
          <w:szCs w:val="24"/>
          <w14:ligatures w14:val="none"/>
        </w:rPr>
        <w:sym w:font="Symbol" w:char="F0BE"/>
      </w:r>
      <w:r w:rsidRPr="00253292">
        <w:rPr>
          <w:rFonts w:eastAsia="Times New Roman"/>
          <w:snapToGrid w:val="0"/>
          <w:color w:val="auto"/>
          <w:kern w:val="0"/>
          <w:sz w:val="24"/>
          <w:szCs w:val="24"/>
          <w14:ligatures w14:val="none"/>
        </w:rPr>
        <w:t>A+B+C+D+E+F.</w:t>
      </w:r>
    </w:p>
    <w:p w:rsidR="00253292" w:rsidRPr="00253292" w:rsidRDefault="00253292" w:rsidP="00253292">
      <w:pPr>
        <w:widowControl w:val="0"/>
        <w:spacing w:after="0" w:line="240" w:lineRule="auto"/>
        <w:rPr>
          <w:rFonts w:eastAsia="Times New Roman"/>
          <w:snapToGrid w:val="0"/>
          <w:color w:val="auto"/>
          <w:kern w:val="0"/>
          <w:sz w:val="24"/>
          <w:szCs w:val="24"/>
          <w14:ligatures w14:val="none"/>
        </w:rPr>
      </w:pPr>
    </w:p>
    <w:p w:rsidR="00253292" w:rsidRPr="00253292" w:rsidRDefault="00253292" w:rsidP="00253292">
      <w:pPr>
        <w:widowControl w:val="0"/>
        <w:spacing w:after="0" w:line="240" w:lineRule="auto"/>
        <w:rPr>
          <w:rFonts w:eastAsia="Times New Roman"/>
          <w:snapToGrid w:val="0"/>
          <w:color w:val="auto"/>
          <w:kern w:val="0"/>
          <w:sz w:val="24"/>
          <w:szCs w:val="24"/>
          <w14:ligatures w14:val="none"/>
        </w:rPr>
      </w:pPr>
    </w:p>
    <w:p w:rsidR="00253292" w:rsidRPr="00253292" w:rsidRDefault="00253292" w:rsidP="00253292">
      <w:pPr>
        <w:widowControl w:val="0"/>
        <w:tabs>
          <w:tab w:val="left" w:pos="-1440"/>
        </w:tabs>
        <w:spacing w:after="0" w:line="240" w:lineRule="auto"/>
        <w:ind w:left="1440" w:hanging="720"/>
        <w:rPr>
          <w:rFonts w:eastAsia="Times New Roman"/>
          <w:snapToGrid w:val="0"/>
          <w:color w:val="auto"/>
          <w:kern w:val="0"/>
          <w:sz w:val="24"/>
          <w:szCs w:val="24"/>
          <w14:ligatures w14:val="none"/>
        </w:rPr>
      </w:pPr>
      <w:r w:rsidRPr="00253292">
        <w:rPr>
          <w:rFonts w:eastAsia="Times New Roman"/>
          <w:snapToGrid w:val="0"/>
          <w:color w:val="auto"/>
          <w:kern w:val="0"/>
          <w:sz w:val="24"/>
          <w:szCs w:val="24"/>
          <w14:ligatures w14:val="none"/>
        </w:rPr>
        <w:t>b.</w:t>
      </w:r>
      <w:r w:rsidRPr="00253292">
        <w:rPr>
          <w:rFonts w:eastAsia="Times New Roman"/>
          <w:snapToGrid w:val="0"/>
          <w:color w:val="auto"/>
          <w:kern w:val="0"/>
          <w:sz w:val="24"/>
          <w:szCs w:val="24"/>
          <w14:ligatures w14:val="none"/>
        </w:rPr>
        <w:tab/>
        <w:t>With a $1 tax on each pizza sold, the price paid by buyers,</w:t>
      </w:r>
      <w:r w:rsidRPr="00253292">
        <w:rPr>
          <w:rFonts w:eastAsia="Times New Roman"/>
          <w:i/>
          <w:snapToGrid w:val="0"/>
          <w:color w:val="auto"/>
          <w:kern w:val="0"/>
          <w:sz w:val="24"/>
          <w:szCs w:val="24"/>
          <w14:ligatures w14:val="none"/>
        </w:rPr>
        <w:t xml:space="preserve"> P</w:t>
      </w:r>
      <w:r w:rsidRPr="00253292">
        <w:rPr>
          <w:rFonts w:eastAsia="Times New Roman"/>
          <w:snapToGrid w:val="0"/>
          <w:color w:val="auto"/>
          <w:kern w:val="0"/>
          <w:sz w:val="24"/>
          <w:szCs w:val="24"/>
          <w:vertAlign w:val="subscript"/>
          <w14:ligatures w14:val="none"/>
        </w:rPr>
        <w:t>B</w:t>
      </w:r>
      <w:r w:rsidRPr="00253292">
        <w:rPr>
          <w:rFonts w:eastAsia="Times New Roman"/>
          <w:snapToGrid w:val="0"/>
          <w:color w:val="auto"/>
          <w:kern w:val="0"/>
          <w:sz w:val="24"/>
          <w:szCs w:val="24"/>
          <w14:ligatures w14:val="none"/>
        </w:rPr>
        <w:t>, is now higher than the price received by sellers,</w:t>
      </w:r>
      <w:r w:rsidRPr="00253292">
        <w:rPr>
          <w:rFonts w:eastAsia="Times New Roman"/>
          <w:i/>
          <w:snapToGrid w:val="0"/>
          <w:color w:val="auto"/>
          <w:kern w:val="0"/>
          <w:sz w:val="24"/>
          <w:szCs w:val="24"/>
          <w14:ligatures w14:val="none"/>
        </w:rPr>
        <w:t xml:space="preserve"> P</w:t>
      </w:r>
      <w:r w:rsidRPr="00253292">
        <w:rPr>
          <w:rFonts w:eastAsia="Times New Roman"/>
          <w:snapToGrid w:val="0"/>
          <w:color w:val="auto"/>
          <w:kern w:val="0"/>
          <w:sz w:val="24"/>
          <w:szCs w:val="24"/>
          <w:vertAlign w:val="subscript"/>
          <w14:ligatures w14:val="none"/>
        </w:rPr>
        <w:t>S</w:t>
      </w:r>
      <w:r w:rsidRPr="00253292">
        <w:rPr>
          <w:rFonts w:eastAsia="Times New Roman"/>
          <w:snapToGrid w:val="0"/>
          <w:color w:val="auto"/>
          <w:kern w:val="0"/>
          <w:sz w:val="24"/>
          <w:szCs w:val="24"/>
          <w14:ligatures w14:val="none"/>
        </w:rPr>
        <w:t>, where</w:t>
      </w:r>
      <w:r w:rsidRPr="00253292">
        <w:rPr>
          <w:rFonts w:eastAsia="Times New Roman"/>
          <w:i/>
          <w:snapToGrid w:val="0"/>
          <w:color w:val="auto"/>
          <w:kern w:val="0"/>
          <w:sz w:val="24"/>
          <w:szCs w:val="24"/>
          <w14:ligatures w14:val="none"/>
        </w:rPr>
        <w:t xml:space="preserve"> P</w:t>
      </w:r>
      <w:r w:rsidRPr="00253292">
        <w:rPr>
          <w:rFonts w:eastAsia="Times New Roman"/>
          <w:snapToGrid w:val="0"/>
          <w:color w:val="auto"/>
          <w:kern w:val="0"/>
          <w:sz w:val="24"/>
          <w:szCs w:val="24"/>
          <w:vertAlign w:val="subscript"/>
          <w14:ligatures w14:val="none"/>
        </w:rPr>
        <w:t>B</w:t>
      </w:r>
      <w:r w:rsidRPr="00253292">
        <w:rPr>
          <w:rFonts w:eastAsia="Times New Roman"/>
          <w:snapToGrid w:val="0"/>
          <w:color w:val="auto"/>
          <w:kern w:val="0"/>
          <w:sz w:val="24"/>
          <w:szCs w:val="24"/>
          <w14:ligatures w14:val="none"/>
        </w:rPr>
        <w:t xml:space="preserve"> =</w:t>
      </w:r>
      <w:r w:rsidRPr="00253292">
        <w:rPr>
          <w:rFonts w:eastAsia="Times New Roman"/>
          <w:i/>
          <w:snapToGrid w:val="0"/>
          <w:color w:val="auto"/>
          <w:kern w:val="0"/>
          <w:sz w:val="24"/>
          <w:szCs w:val="24"/>
          <w14:ligatures w14:val="none"/>
        </w:rPr>
        <w:t xml:space="preserve"> P</w:t>
      </w:r>
      <w:r w:rsidRPr="00253292">
        <w:rPr>
          <w:rFonts w:eastAsia="Times New Roman"/>
          <w:snapToGrid w:val="0"/>
          <w:color w:val="auto"/>
          <w:kern w:val="0"/>
          <w:sz w:val="24"/>
          <w:szCs w:val="24"/>
          <w:vertAlign w:val="subscript"/>
          <w14:ligatures w14:val="none"/>
        </w:rPr>
        <w:t>S</w:t>
      </w:r>
      <w:r w:rsidRPr="00253292">
        <w:rPr>
          <w:rFonts w:eastAsia="Times New Roman"/>
          <w:snapToGrid w:val="0"/>
          <w:color w:val="auto"/>
          <w:kern w:val="0"/>
          <w:sz w:val="24"/>
          <w:szCs w:val="24"/>
          <w14:ligatures w14:val="none"/>
        </w:rPr>
        <w:t xml:space="preserve"> + $1.  The quantity declines to</w:t>
      </w:r>
      <w:r w:rsidRPr="00253292">
        <w:rPr>
          <w:rFonts w:eastAsia="Times New Roman"/>
          <w:i/>
          <w:snapToGrid w:val="0"/>
          <w:color w:val="auto"/>
          <w:kern w:val="0"/>
          <w:sz w:val="24"/>
          <w:szCs w:val="24"/>
          <w14:ligatures w14:val="none"/>
        </w:rPr>
        <w:t xml:space="preserve"> Q</w:t>
      </w:r>
      <w:r w:rsidRPr="00253292">
        <w:rPr>
          <w:rFonts w:eastAsia="Times New Roman"/>
          <w:snapToGrid w:val="0"/>
          <w:color w:val="auto"/>
          <w:kern w:val="0"/>
          <w:sz w:val="24"/>
          <w:szCs w:val="24"/>
          <w:vertAlign w:val="subscript"/>
          <w14:ligatures w14:val="none"/>
        </w:rPr>
        <w:t>2</w:t>
      </w:r>
      <w:r w:rsidRPr="00253292">
        <w:rPr>
          <w:rFonts w:eastAsia="Times New Roman"/>
          <w:snapToGrid w:val="0"/>
          <w:color w:val="auto"/>
          <w:kern w:val="0"/>
          <w:sz w:val="24"/>
          <w:szCs w:val="24"/>
          <w14:ligatures w14:val="none"/>
        </w:rPr>
        <w:t>, consumer surplus is area A, producer surplus is area F, government revenue is area B+D, and deadweight loss is area C+E.  Consumer surplus declines by B+C, producer surplus declines by D+E, government revenue increases by B+D, and deadweight loss increases by C+E.</w:t>
      </w:r>
    </w:p>
    <w:p w:rsidR="00253292" w:rsidRPr="00253292" w:rsidRDefault="00253292" w:rsidP="00253292">
      <w:pPr>
        <w:widowControl w:val="0"/>
        <w:spacing w:after="0" w:line="240" w:lineRule="auto"/>
        <w:rPr>
          <w:rFonts w:eastAsia="Times New Roman"/>
          <w:snapToGrid w:val="0"/>
          <w:color w:val="auto"/>
          <w:kern w:val="0"/>
          <w:sz w:val="24"/>
          <w:szCs w:val="24"/>
          <w14:ligatures w14:val="none"/>
        </w:rPr>
      </w:pPr>
    </w:p>
    <w:p w:rsidR="00253292" w:rsidRDefault="00253292" w:rsidP="00253292"/>
    <w:p w:rsidR="00253292" w:rsidRDefault="00253292" w:rsidP="00253292"/>
    <w:p w:rsidR="00253292" w:rsidRDefault="00253292" w:rsidP="00253292"/>
    <w:p w:rsidR="00253292" w:rsidRDefault="00253292" w:rsidP="00253292"/>
    <w:p w:rsidR="00253292" w:rsidRDefault="00253292" w:rsidP="00253292"/>
    <w:p w:rsidR="00253292" w:rsidRPr="00253292" w:rsidRDefault="00253292" w:rsidP="00253292"/>
    <w:p w:rsidR="0075729D" w:rsidRDefault="00292785"/>
    <w:p w:rsidR="00253292" w:rsidRDefault="00253292">
      <w:r w:rsidRPr="00253292">
        <w:rPr>
          <w:noProof/>
        </w:rPr>
        <w:lastRenderedPageBreak/>
        <w:drawing>
          <wp:inline distT="0" distB="0" distL="0" distR="0" wp14:anchorId="7A6A34A4" wp14:editId="5772668C">
            <wp:extent cx="7655321" cy="430530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62978" cy="4309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32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1F3"/>
    <w:rsid w:val="00253292"/>
    <w:rsid w:val="00292785"/>
    <w:rsid w:val="003E349A"/>
    <w:rsid w:val="007251F3"/>
    <w:rsid w:val="007924EC"/>
    <w:rsid w:val="009C1C0D"/>
    <w:rsid w:val="00A57113"/>
    <w:rsid w:val="00AF0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C7F997-7378-4AE9-A9D6-41C8AFD27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225</Words>
  <Characters>1081</Characters>
  <Application>Microsoft Office Word</Application>
  <DocSecurity>0</DocSecurity>
  <Lines>36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2023-11-06T17:37:00Z</dcterms:created>
  <dcterms:modified xsi:type="dcterms:W3CDTF">2023-11-06T18:55:00Z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1764ed80c7e0568c95d9d0840f54bf9bed1206ef39b80e8f7690c369c4f07cf0</vt:lpwstr>
  </property>
</Properties>
</file>